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46D57237" w:rsidR="004E0BE8" w:rsidRDefault="005675EB" w:rsidP="004973A7">
      <w:pPr>
        <w:pStyle w:val="Heading1"/>
        <w:spacing w:before="1080"/>
        <w:rPr>
          <w:lang w:val="en-US"/>
        </w:rPr>
      </w:pPr>
      <w:bookmarkStart w:id="0" w:name="_GoBack"/>
      <w:bookmarkEnd w:id="0"/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2020 Primary Health Care Research Data Infrastructure 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239EBE6D" w14:textId="77777777" w:rsidR="00937088" w:rsidRPr="00937088" w:rsidRDefault="00937088" w:rsidP="00937088">
      <w:pPr>
        <w:pStyle w:val="NoSpacing"/>
      </w:pPr>
      <w:r w:rsidRPr="00937088">
        <w:t>AusIndustry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6CEAAC3F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E64E4C" w:rsidRPr="00E64E4C">
        <w:t xml:space="preserve">2020 Primary Health Care Research Data Infrastructure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3543C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60BB-4395-4A11-B432-09845C16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2020-10-02T05:26:00Z</dcterms:created>
  <dcterms:modified xsi:type="dcterms:W3CDTF">2020-10-02T05:27:00Z</dcterms:modified>
  <cp:category/>
</cp:coreProperties>
</file>